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highlight w:val="white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highlight w:val="white"/>
          <w:rtl w:val="0"/>
        </w:rPr>
        <w:t xml:space="preserve"> CAJA REGISTRADORA ELECTRONICA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4"/>
          <w:szCs w:val="24"/>
          <w:highlight w:val="white"/>
          <w:rtl w:val="0"/>
        </w:rPr>
        <w:t xml:space="preserve">PRECIO S./1800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MODELO  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   ER-350 II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DEPARTAMENTOS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8/16 DEPARTAMENTOS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PLUS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           300 ITEMS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IMPRIME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     FECHA, HORA, 5 LINEAS PROGRAMABLES DE 5 CARACTERES PARA EL TICKET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                    10 CARATERES PARA LOS DPARTAMENTOS Y PLUS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IMPRESOR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  MATRIZ DE PUNTOS, ALFANUMERICA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VELOCIDAD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3.2 LINEAS POR SEGUNDO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ADITAMENTOS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TORRETA DISPLAY Y LLAVES PARA CADA POSICION DE SWITCH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GAVETA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     CON LLAVE, 5 ESPACIOS PARA MONEDAS Y 5 ESPACIOS PARA MONEDAS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REPORTES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  VENTA DIARIA, VENTA POR HORA Y VENTA POR CADA PRODUCTO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CONSUMO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 25 WATTS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highlight w:val="white"/>
          <w:rtl w:val="0"/>
        </w:rPr>
        <w:t xml:space="preserve">VOLTAJE</w:t>
      </w:r>
      <w:r w:rsidDel="00000000" w:rsidR="00000000" w:rsidRPr="00000000">
        <w:rPr>
          <w:rFonts w:ascii="Comic Sans MS" w:cs="Comic Sans MS" w:eastAsia="Comic Sans MS" w:hAnsi="Comic Sans MS"/>
          <w:color w:val="333333"/>
          <w:highlight w:val="white"/>
          <w:rtl w:val="0"/>
        </w:rPr>
        <w:t xml:space="preserve">                 220 / 60 HZ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4"/>
          <w:szCs w:val="24"/>
          <w:highlight w:val="white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8"/>
          <w:szCs w:val="28"/>
          <w:highlight w:val="white"/>
          <w:rtl w:val="0"/>
        </w:rPr>
        <w:t xml:space="preserve">CONDICIONES GENERALES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4"/>
          <w:szCs w:val="24"/>
          <w:highlight w:val="white"/>
          <w:rtl w:val="0"/>
        </w:rPr>
        <w:t xml:space="preserve">* GARANTIA DE UN AÑO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4"/>
          <w:szCs w:val="24"/>
          <w:highlight w:val="white"/>
          <w:rtl w:val="0"/>
        </w:rPr>
        <w:t xml:space="preserve">* PRECIO INCLUYE I. G.V.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4"/>
          <w:szCs w:val="24"/>
          <w:highlight w:val="white"/>
          <w:rtl w:val="0"/>
        </w:rPr>
        <w:t xml:space="preserve">* INCLUYE PROGRAMACION Y CAPACITACION AL PERSONAL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                                                                                  </w:t>
      </w:r>
      <w:r w:rsidDel="00000000" w:rsidR="00000000" w:rsidRPr="00000000">
        <w:drawing>
          <wp:inline distB="114300" distT="114300" distL="114300" distR="114300">
            <wp:extent cx="2028825" cy="2257425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5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